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84" w:firstLine="284"/>
        <w:jc w:val="center"/>
        <w:rPr>
          <w:b/>
          <w:bCs/>
          <w:color w:val="000000"/>
          <w:sz w:val="24"/>
          <w:szCs w:val="24"/>
        </w:rPr>
      </w:pPr>
    </w:p>
    <w:p>
      <w:pPr>
        <w:ind w:left="-284" w:firstLine="284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Извещение о проведении аукциона. </w:t>
      </w:r>
    </w:p>
    <w:p>
      <w:pPr>
        <w:jc w:val="center"/>
        <w:rPr>
          <w:b/>
          <w:bCs/>
          <w:color w:val="000000"/>
          <w:sz w:val="24"/>
          <w:szCs w:val="24"/>
        </w:rPr>
      </w:pPr>
    </w:p>
    <w:p>
      <w:pPr>
        <w:pStyle w:val="11"/>
        <w:numPr>
          <w:ilvl w:val="0"/>
          <w:numId w:val="1"/>
        </w:numPr>
        <w:jc w:val="both"/>
        <w:rPr>
          <w:b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Организатор аукциона, уполномоченный орган: </w:t>
      </w:r>
    </w:p>
    <w:p>
      <w:pPr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Администрация муниципального образования </w:t>
      </w:r>
      <w:r>
        <w:rPr>
          <w:color w:val="000000"/>
          <w:sz w:val="24"/>
          <w:szCs w:val="24"/>
          <w:lang w:val="ru-RU"/>
        </w:rPr>
        <w:t>Воздвиженский</w:t>
      </w:r>
      <w:r>
        <w:rPr>
          <w:rFonts w:hint="default"/>
          <w:color w:val="000000"/>
          <w:sz w:val="24"/>
          <w:szCs w:val="24"/>
          <w:lang w:val="ru-RU"/>
        </w:rPr>
        <w:t xml:space="preserve"> сельсовет </w:t>
      </w:r>
      <w:r>
        <w:rPr>
          <w:color w:val="000000"/>
          <w:sz w:val="24"/>
          <w:szCs w:val="24"/>
        </w:rPr>
        <w:t>Асекеевск</w:t>
      </w:r>
      <w:r>
        <w:rPr>
          <w:color w:val="000000"/>
          <w:sz w:val="24"/>
          <w:szCs w:val="24"/>
          <w:lang w:val="ru-RU"/>
        </w:rPr>
        <w:t>ого</w:t>
      </w:r>
      <w:r>
        <w:rPr>
          <w:color w:val="000000"/>
          <w:sz w:val="24"/>
          <w:szCs w:val="24"/>
        </w:rPr>
        <w:t xml:space="preserve"> район</w:t>
      </w:r>
      <w:r>
        <w:rPr>
          <w:color w:val="000000"/>
          <w:sz w:val="24"/>
          <w:szCs w:val="24"/>
          <w:lang w:val="ru-RU"/>
        </w:rPr>
        <w:t>а</w:t>
      </w:r>
      <w:r>
        <w:rPr>
          <w:color w:val="000000"/>
          <w:sz w:val="24"/>
          <w:szCs w:val="24"/>
        </w:rPr>
        <w:t xml:space="preserve"> Оренбургской области.</w:t>
      </w:r>
    </w:p>
    <w:p>
      <w:pPr>
        <w:ind w:firstLine="360"/>
        <w:jc w:val="both"/>
        <w:rPr>
          <w:color w:val="000000"/>
          <w:sz w:val="24"/>
          <w:szCs w:val="24"/>
        </w:rPr>
      </w:pPr>
    </w:p>
    <w:p>
      <w:pPr>
        <w:pStyle w:val="11"/>
        <w:numPr>
          <w:ilvl w:val="0"/>
          <w:numId w:val="1"/>
        </w:numPr>
        <w:jc w:val="both"/>
        <w:rPr>
          <w:b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Реквизиты решения о проведении аукциона: </w:t>
      </w:r>
    </w:p>
    <w:p>
      <w:pPr>
        <w:ind w:firstLine="360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</w:rPr>
        <w:t>Протокол заседания комиссии по проведению аукциона по продаже права на заключение</w:t>
      </w:r>
      <w:r>
        <w:rPr>
          <w:rFonts w:hint="default"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договоров аренды</w:t>
      </w:r>
      <w:r>
        <w:rPr>
          <w:rFonts w:hint="default"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 xml:space="preserve">земельных участков, государственная собственность на которые не разграничена или находящихся в муниципальной собственности, </w:t>
      </w:r>
      <w:r>
        <w:rPr>
          <w:color w:val="000000"/>
          <w:sz w:val="24"/>
          <w:szCs w:val="24"/>
          <w:highlight w:val="none"/>
        </w:rPr>
        <w:t xml:space="preserve">№ </w:t>
      </w:r>
      <w:r>
        <w:rPr>
          <w:rFonts w:hint="default"/>
          <w:color w:val="000000"/>
          <w:sz w:val="24"/>
          <w:szCs w:val="24"/>
          <w:highlight w:val="none"/>
          <w:lang w:val="ru-RU"/>
        </w:rPr>
        <w:t>1</w:t>
      </w:r>
      <w:r>
        <w:rPr>
          <w:color w:val="000000"/>
          <w:sz w:val="24"/>
          <w:szCs w:val="24"/>
          <w:highlight w:val="none"/>
        </w:rPr>
        <w:t xml:space="preserve"> от </w:t>
      </w:r>
      <w:r>
        <w:rPr>
          <w:rFonts w:hint="default"/>
          <w:color w:val="000000"/>
          <w:sz w:val="24"/>
          <w:szCs w:val="24"/>
          <w:highlight w:val="none"/>
          <w:lang w:val="ru-RU"/>
        </w:rPr>
        <w:t>23 апреля</w:t>
      </w:r>
      <w:r>
        <w:rPr>
          <w:color w:val="000000"/>
          <w:sz w:val="24"/>
          <w:szCs w:val="24"/>
          <w:highlight w:val="none"/>
        </w:rPr>
        <w:t xml:space="preserve"> 2025 года.</w:t>
      </w:r>
    </w:p>
    <w:p>
      <w:pPr>
        <w:ind w:firstLine="360"/>
        <w:jc w:val="both"/>
        <w:rPr>
          <w:color w:val="000000"/>
          <w:sz w:val="24"/>
          <w:szCs w:val="24"/>
          <w:highlight w:val="none"/>
        </w:rPr>
      </w:pPr>
    </w:p>
    <w:p>
      <w:pPr>
        <w:pStyle w:val="11"/>
        <w:numPr>
          <w:ilvl w:val="0"/>
          <w:numId w:val="1"/>
        </w:numPr>
        <w:jc w:val="both"/>
        <w:rPr>
          <w:b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Место, дата и время проведения аукциона: </w:t>
      </w:r>
    </w:p>
    <w:p>
      <w:pPr>
        <w:ind w:firstLine="360"/>
        <w:jc w:val="both"/>
        <w:rPr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Администрация муниципального образования  </w:t>
      </w:r>
      <w:r>
        <w:rPr>
          <w:color w:val="000000"/>
          <w:sz w:val="24"/>
          <w:szCs w:val="24"/>
          <w:lang w:val="ru-RU"/>
        </w:rPr>
        <w:t>Воздвиженский</w:t>
      </w:r>
      <w:r>
        <w:rPr>
          <w:rFonts w:hint="default"/>
          <w:color w:val="000000"/>
          <w:sz w:val="24"/>
          <w:szCs w:val="24"/>
          <w:lang w:val="ru-RU"/>
        </w:rPr>
        <w:t xml:space="preserve"> сельсовет </w:t>
      </w:r>
      <w:r>
        <w:rPr>
          <w:color w:val="000000"/>
          <w:sz w:val="24"/>
          <w:szCs w:val="24"/>
        </w:rPr>
        <w:t>Асекеевск</w:t>
      </w:r>
      <w:r>
        <w:rPr>
          <w:color w:val="000000"/>
          <w:sz w:val="24"/>
          <w:szCs w:val="24"/>
          <w:lang w:val="ru-RU"/>
        </w:rPr>
        <w:t>ого</w:t>
      </w:r>
      <w:r>
        <w:rPr>
          <w:color w:val="000000"/>
          <w:sz w:val="24"/>
          <w:szCs w:val="24"/>
        </w:rPr>
        <w:t xml:space="preserve"> район</w:t>
      </w:r>
      <w:r>
        <w:rPr>
          <w:color w:val="000000"/>
          <w:sz w:val="24"/>
          <w:szCs w:val="24"/>
          <w:lang w:val="ru-RU"/>
        </w:rPr>
        <w:t>а</w:t>
      </w:r>
      <w:r>
        <w:rPr>
          <w:color w:val="000000"/>
          <w:sz w:val="24"/>
          <w:szCs w:val="24"/>
        </w:rPr>
        <w:t xml:space="preserve"> Оренбургской области в соответствии с Земельным кодексом Российской Федерации, Протоколом заседания комиссии по проведению аукциона по продаже права на заключение</w:t>
      </w:r>
      <w:r>
        <w:rPr>
          <w:rFonts w:hint="default"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договоров аренды</w:t>
      </w:r>
      <w:r>
        <w:rPr>
          <w:rFonts w:hint="default"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 xml:space="preserve">земельных участков, государственная собственность на которые не разграничена или находящихся в муниципальной собственности, </w:t>
      </w:r>
      <w:r>
        <w:rPr>
          <w:color w:val="000000"/>
          <w:sz w:val="24"/>
          <w:szCs w:val="24"/>
          <w:highlight w:val="none"/>
        </w:rPr>
        <w:t xml:space="preserve">№ </w:t>
      </w:r>
      <w:r>
        <w:rPr>
          <w:rFonts w:hint="default"/>
          <w:color w:val="000000"/>
          <w:sz w:val="24"/>
          <w:szCs w:val="24"/>
          <w:highlight w:val="none"/>
          <w:lang w:val="ru-RU"/>
        </w:rPr>
        <w:t>1</w:t>
      </w:r>
      <w:r>
        <w:rPr>
          <w:color w:val="000000"/>
          <w:sz w:val="24"/>
          <w:szCs w:val="24"/>
          <w:highlight w:val="none"/>
        </w:rPr>
        <w:t xml:space="preserve"> от </w:t>
      </w:r>
      <w:r>
        <w:rPr>
          <w:rFonts w:hint="default"/>
          <w:color w:val="000000"/>
          <w:sz w:val="24"/>
          <w:szCs w:val="24"/>
          <w:highlight w:val="none"/>
          <w:lang w:val="ru-RU"/>
        </w:rPr>
        <w:t>23 апреля</w:t>
      </w:r>
      <w:r>
        <w:rPr>
          <w:color w:val="000000"/>
          <w:sz w:val="24"/>
          <w:szCs w:val="24"/>
          <w:highlight w:val="none"/>
        </w:rPr>
        <w:t xml:space="preserve"> 2025 года,  </w:t>
      </w:r>
      <w:r>
        <w:rPr>
          <w:rFonts w:hint="default"/>
          <w:b/>
          <w:bCs/>
          <w:color w:val="000000"/>
          <w:sz w:val="24"/>
          <w:szCs w:val="24"/>
          <w:highlight w:val="none"/>
          <w:lang w:val="ru-RU"/>
        </w:rPr>
        <w:t>05</w:t>
      </w:r>
      <w:r>
        <w:rPr>
          <w:b/>
          <w:bCs/>
          <w:color w:val="000000"/>
          <w:sz w:val="24"/>
          <w:szCs w:val="24"/>
          <w:highlight w:val="none"/>
        </w:rPr>
        <w:t xml:space="preserve"> </w:t>
      </w:r>
      <w:r>
        <w:rPr>
          <w:b/>
          <w:color w:val="000000"/>
          <w:sz w:val="24"/>
          <w:szCs w:val="24"/>
          <w:highlight w:val="none"/>
          <w:lang w:val="ru-RU"/>
        </w:rPr>
        <w:t>июня</w:t>
      </w:r>
      <w:r>
        <w:rPr>
          <w:b/>
          <w:color w:val="000000"/>
          <w:sz w:val="24"/>
          <w:szCs w:val="24"/>
          <w:highlight w:val="none"/>
        </w:rPr>
        <w:t xml:space="preserve"> 2025 года в 11.00</w:t>
      </w:r>
      <w:r>
        <w:rPr>
          <w:color w:val="000000"/>
          <w:sz w:val="24"/>
          <w:szCs w:val="24"/>
          <w:highlight w:val="none"/>
        </w:rPr>
        <w:t xml:space="preserve">  местного времени проводит аукцио</w:t>
      </w:r>
      <w:r>
        <w:rPr>
          <w:color w:val="000000"/>
          <w:sz w:val="24"/>
          <w:szCs w:val="24"/>
        </w:rPr>
        <w:t xml:space="preserve">н в электронной форме с открытой формой подачи предложений о цене продажи  и цене аренды за земельные участки </w:t>
      </w:r>
      <w:r>
        <w:rPr>
          <w:b/>
          <w:i/>
          <w:color w:val="000000"/>
          <w:sz w:val="24"/>
          <w:szCs w:val="24"/>
        </w:rPr>
        <w:t>на электронной площадке  www. rtc-tender.ru.</w:t>
      </w:r>
    </w:p>
    <w:p>
      <w:pPr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ООО «РТС-тендер», место нахождения: 127006, г. Москва, ул. Долгоруковская, д.38 стр.1, официальный сайт: www. rtc-tender.ru, адрес электронной почты: </w:t>
      </w:r>
      <w:r>
        <w:fldChar w:fldCharType="begin"/>
      </w:r>
      <w:r>
        <w:instrText xml:space="preserve"> HYPERLINK "mailto:iSupport@rtc-tender.ru" </w:instrText>
      </w:r>
      <w:r>
        <w:fldChar w:fldCharType="separate"/>
      </w:r>
      <w:r>
        <w:rPr>
          <w:rStyle w:val="4"/>
          <w:sz w:val="24"/>
          <w:szCs w:val="24"/>
        </w:rPr>
        <w:t>iSupport@rtc-tender.ru</w:t>
      </w:r>
      <w:r>
        <w:rPr>
          <w:rStyle w:val="4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>, тел: +7(499)653-55-00, +7(800)500-7-500, факс: +7(495)733-95-19.</w:t>
      </w:r>
    </w:p>
    <w:p>
      <w:pPr>
        <w:ind w:firstLine="360"/>
        <w:jc w:val="both"/>
        <w:rPr>
          <w:color w:val="000000"/>
          <w:sz w:val="24"/>
          <w:szCs w:val="24"/>
        </w:rPr>
      </w:pPr>
    </w:p>
    <w:p>
      <w:pPr>
        <w:pStyle w:val="11"/>
        <w:numPr>
          <w:ilvl w:val="0"/>
          <w:numId w:val="1"/>
        </w:numPr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Порядок регистрации на электронной площадке:</w:t>
      </w:r>
    </w:p>
    <w:p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Для обеспечения  доступа к участию в аукционе в электронной форме (далее по тексту-Процедура) претендентам необходимо пройти регистрацию в соответствии с Регламентом электронной площадки </w:t>
      </w:r>
      <w:r>
        <w:rPr>
          <w:sz w:val="24"/>
          <w:szCs w:val="24"/>
          <w:u w:val="single"/>
          <w:lang w:val="en-US"/>
        </w:rPr>
        <w:t>www</w:t>
      </w:r>
      <w:r>
        <w:rPr>
          <w:sz w:val="24"/>
          <w:szCs w:val="24"/>
          <w:u w:val="single"/>
        </w:rPr>
        <w:t xml:space="preserve">. </w:t>
      </w:r>
      <w:r>
        <w:rPr>
          <w:sz w:val="24"/>
          <w:szCs w:val="24"/>
          <w:u w:val="single"/>
          <w:lang w:val="en-US"/>
        </w:rPr>
        <w:t>rtc</w:t>
      </w:r>
      <w:r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  <w:lang w:val="en-US"/>
        </w:rPr>
        <w:t>tender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ru</w:t>
      </w:r>
      <w:r>
        <w:rPr>
          <w:sz w:val="24"/>
          <w:szCs w:val="24"/>
        </w:rPr>
        <w:t>.</w:t>
      </w:r>
    </w:p>
    <w:p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извещении.</w:t>
      </w:r>
    </w:p>
    <w:p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Регистрация на электронной площадке осуществляется без взимания платы. </w:t>
      </w:r>
    </w:p>
    <w:p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Регистрация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>
      <w:pPr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ООО «РТС-тендер» и размещены на сайте </w:t>
      </w:r>
      <w:r>
        <w:rPr>
          <w:sz w:val="24"/>
          <w:szCs w:val="24"/>
          <w:u w:val="single"/>
          <w:lang w:val="en-US"/>
        </w:rPr>
        <w:t>http</w:t>
      </w:r>
      <w:r>
        <w:rPr>
          <w:sz w:val="24"/>
          <w:szCs w:val="24"/>
          <w:u w:val="single"/>
        </w:rPr>
        <w:t>://</w:t>
      </w:r>
      <w:r>
        <w:rPr>
          <w:sz w:val="24"/>
          <w:szCs w:val="24"/>
          <w:u w:val="single"/>
          <w:lang w:val="en-US"/>
        </w:rPr>
        <w:t>help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rts</w:t>
      </w:r>
      <w:r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  <w:lang w:val="en-US"/>
        </w:rPr>
        <w:t>tender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ru</w:t>
      </w:r>
      <w:r>
        <w:rPr>
          <w:sz w:val="24"/>
          <w:szCs w:val="24"/>
          <w:u w:val="single"/>
        </w:rPr>
        <w:t>/.</w:t>
      </w:r>
    </w:p>
    <w:p>
      <w:pPr>
        <w:ind w:firstLine="360"/>
        <w:jc w:val="both"/>
        <w:rPr>
          <w:sz w:val="24"/>
          <w:szCs w:val="24"/>
        </w:rPr>
      </w:pPr>
    </w:p>
    <w:p>
      <w:pPr>
        <w:pStyle w:val="11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Наименование объекта недвижимости и иные, позволяющие его индивидуализировать, сведения.</w:t>
      </w:r>
      <w:r>
        <w:rPr>
          <w:b/>
          <w:sz w:val="24"/>
          <w:szCs w:val="24"/>
        </w:rPr>
        <w:t xml:space="preserve">  </w:t>
      </w:r>
    </w:p>
    <w:p>
      <w:pPr>
        <w:jc w:val="center"/>
        <w:rPr>
          <w:b/>
          <w:sz w:val="24"/>
          <w:szCs w:val="24"/>
        </w:rPr>
      </w:pPr>
    </w:p>
    <w:p>
      <w:pPr>
        <w:pStyle w:val="8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продаже права на заключение договоров аренды сроком на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лет предлагаются:</w:t>
      </w:r>
    </w:p>
    <w:p>
      <w:pPr>
        <w:tabs>
          <w:tab w:val="left" w:pos="435"/>
        </w:tabs>
        <w:spacing w:after="0" w:line="240" w:lineRule="auto"/>
        <w:ind w:left="-142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cs="Times New Roman"/>
          <w:b/>
          <w:bCs/>
          <w:sz w:val="24"/>
          <w:szCs w:val="24"/>
          <w:lang w:eastAsia="ru-RU"/>
        </w:rPr>
        <w:t>Лот</w:t>
      </w:r>
      <w:r>
        <w:rPr>
          <w:rFonts w:hint="default" w:cs="Times New Roman"/>
          <w:b/>
          <w:bCs/>
          <w:sz w:val="24"/>
          <w:szCs w:val="24"/>
          <w:lang w:val="en-US" w:eastAsia="ru-RU"/>
        </w:rPr>
        <w:t xml:space="preserve"> 1.</w:t>
      </w:r>
      <w:r>
        <w:rPr>
          <w:rFonts w:hint="default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Земельный участок,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находящийся 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государственной или муниципальной собственности, с кадастровым номером </w:t>
      </w:r>
      <w:r>
        <w:rPr>
          <w:b/>
          <w:bCs/>
          <w:sz w:val="24"/>
          <w:szCs w:val="24"/>
        </w:rPr>
        <w:t>56:05:0507001:42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площадью </w:t>
      </w:r>
      <w:r>
        <w:rPr>
          <w:rFonts w:hint="default" w:cs="Times New Roman"/>
          <w:sz w:val="24"/>
          <w:szCs w:val="24"/>
          <w:highlight w:val="none"/>
          <w:lang w:val="en-US" w:eastAsia="ru-RU"/>
        </w:rPr>
        <w:t>440 000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кв.м. Местоположение земельного участка: Российская Федерация, Оренбургская область, Асекеевский муниципальный район, сельское поселение Воздвиженс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>кий сельсовет, земельный участок расположен в ю</w:t>
      </w:r>
      <w:r>
        <w:rPr>
          <w:rFonts w:hint="default" w:cs="Times New Roman"/>
          <w:sz w:val="24"/>
          <w:szCs w:val="24"/>
          <w:highlight w:val="none"/>
          <w:lang w:val="ru-RU" w:eastAsia="ru-RU"/>
        </w:rPr>
        <w:t>го</w:t>
      </w:r>
      <w:r>
        <w:rPr>
          <w:rFonts w:hint="default" w:cs="Times New Roman"/>
          <w:sz w:val="24"/>
          <w:szCs w:val="24"/>
          <w:highlight w:val="none"/>
          <w:lang w:val="en-US" w:eastAsia="ru-RU"/>
        </w:rPr>
        <w:t>-восточной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 части кадастрового квартала 56:05:0</w:t>
      </w:r>
      <w:r>
        <w:rPr>
          <w:rFonts w:hint="default" w:cs="Times New Roman"/>
          <w:sz w:val="24"/>
          <w:szCs w:val="24"/>
          <w:highlight w:val="none"/>
          <w:lang w:val="en-US" w:eastAsia="ru-RU"/>
        </w:rPr>
        <w:t>507001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. Категория земель: земли сельскохозяйственного назначения. Разрешенное использование: </w:t>
      </w:r>
      <w:r>
        <w:rPr>
          <w:rFonts w:cs="Times New Roman"/>
          <w:sz w:val="24"/>
          <w:szCs w:val="24"/>
          <w:highlight w:val="none"/>
          <w:lang w:eastAsia="ru-RU"/>
        </w:rPr>
        <w:t>сельскохозяйственное</w:t>
      </w:r>
      <w:r>
        <w:rPr>
          <w:rFonts w:hint="default" w:cs="Times New Roman"/>
          <w:sz w:val="24"/>
          <w:szCs w:val="24"/>
          <w:highlight w:val="none"/>
          <w:lang w:val="en-US" w:eastAsia="ru-RU"/>
        </w:rPr>
        <w:t xml:space="preserve"> использование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>.</w:t>
      </w:r>
    </w:p>
    <w:p>
      <w:pPr>
        <w:tabs>
          <w:tab w:val="left" w:pos="435"/>
        </w:tabs>
        <w:spacing w:after="0" w:line="240" w:lineRule="auto"/>
        <w:ind w:left="-142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 никому не продан, не заложен, в споре и под запрещением не состоит,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 обременен правами и претензиями третьих лиц.</w:t>
      </w:r>
    </w:p>
    <w:p>
      <w:pPr>
        <w:tabs>
          <w:tab w:val="left" w:pos="435"/>
        </w:tabs>
        <w:spacing w:after="0" w:line="240" w:lineRule="auto"/>
        <w:ind w:left="-142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отношении земельного участка ограничения  не  установлены.</w:t>
      </w:r>
    </w:p>
    <w:p>
      <w:pPr>
        <w:pStyle w:val="8"/>
        <w:ind w:firstLine="708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Начальный размер цены арендной платы составляет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>220 000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рубл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ей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год. Шаг аукциона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6 600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рублей. Размер задатка составляет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220 000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рубля.</w:t>
      </w:r>
    </w:p>
    <w:p>
      <w:pPr>
        <w:pStyle w:val="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435"/>
        </w:tabs>
        <w:spacing w:after="0" w:line="240" w:lineRule="auto"/>
        <w:ind w:left="-142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2.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Земельный участок, находящийся в государственной или муниципальной собственности, с кадастровым номером </w:t>
      </w:r>
      <w:r>
        <w:rPr>
          <w:b/>
          <w:bCs/>
          <w:sz w:val="22"/>
          <w:szCs w:val="22"/>
        </w:rPr>
        <w:t>56:05:0507001:44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площадью </w:t>
      </w:r>
      <w:r>
        <w:rPr>
          <w:rFonts w:hint="default" w:cs="Times New Roman"/>
          <w:sz w:val="24"/>
          <w:szCs w:val="24"/>
          <w:highlight w:val="none"/>
          <w:lang w:val="en-US" w:eastAsia="ru-RU"/>
        </w:rPr>
        <w:t>472 000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кв.м. Местоположение земельного участка: Российская Федерация, Оренбургская область, Асекеевский муниципальный район, се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льское поселение Воздвиженский сельсовет, земельный участок расположен в </w:t>
      </w:r>
      <w:r>
        <w:rPr>
          <w:rFonts w:cs="Times New Roman"/>
          <w:sz w:val="24"/>
          <w:szCs w:val="24"/>
          <w:highlight w:val="none"/>
          <w:lang w:eastAsia="ru-RU"/>
        </w:rPr>
        <w:t>юго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>-восточной части кадастрового квартала 56:05:0</w:t>
      </w:r>
      <w:r>
        <w:rPr>
          <w:rFonts w:hint="default" w:cs="Times New Roman"/>
          <w:sz w:val="24"/>
          <w:szCs w:val="24"/>
          <w:highlight w:val="none"/>
          <w:lang w:val="en-US" w:eastAsia="ru-RU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07001. Категория земель: земли сельскохозяйственного назначения. Разрешенное использование: </w:t>
      </w:r>
      <w:r>
        <w:rPr>
          <w:rFonts w:cs="Times New Roman"/>
          <w:sz w:val="24"/>
          <w:szCs w:val="24"/>
          <w:highlight w:val="none"/>
          <w:lang w:eastAsia="ru-RU"/>
        </w:rPr>
        <w:t>сельскохозяйственное</w:t>
      </w:r>
      <w:r>
        <w:rPr>
          <w:rFonts w:hint="default" w:cs="Times New Roman"/>
          <w:sz w:val="24"/>
          <w:szCs w:val="24"/>
          <w:highlight w:val="none"/>
          <w:lang w:val="en-US" w:eastAsia="ru-RU"/>
        </w:rPr>
        <w:t xml:space="preserve"> использование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>.</w:t>
      </w:r>
    </w:p>
    <w:p>
      <w:pPr>
        <w:tabs>
          <w:tab w:val="left" w:pos="435"/>
        </w:tabs>
        <w:spacing w:after="0" w:line="240" w:lineRule="auto"/>
        <w:ind w:left="-142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Земельный участок никому не продан, не заложен, в споре и под запрещением не состоит, не обременен правами и претензиями третьих лиц.</w:t>
      </w:r>
    </w:p>
    <w:p>
      <w:pPr>
        <w:tabs>
          <w:tab w:val="left" w:pos="435"/>
        </w:tabs>
        <w:spacing w:after="0" w:line="240" w:lineRule="auto"/>
        <w:ind w:left="-142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отношении земельного участка ограничения  не  установлены.</w:t>
      </w:r>
    </w:p>
    <w:p>
      <w:pPr>
        <w:pStyle w:val="8"/>
        <w:ind w:firstLine="708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Начальный размер цены арендной платы составляет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236 000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рублей в год. Шаг аукциона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7 080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рублей. Размер задатка составляет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236 000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рублей.</w:t>
      </w:r>
    </w:p>
    <w:p>
      <w:pPr>
        <w:pStyle w:val="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firstLine="567"/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6. Размер задатка, срок, порядок его внесения и возврата, банковские реквизиты счета для перечисления задатка.</w:t>
      </w:r>
    </w:p>
    <w:p>
      <w:pPr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highlight w:val="none"/>
        </w:rPr>
        <w:t xml:space="preserve">Задаток на право участия в аукционе составляет 100 % от начального размера арендной платы или цены продажи в счет обеспечения оплаты приобретаемого объекта недвижимости. Порядок внесения задатка определяется регламентом работы электронной площадки </w:t>
      </w:r>
      <w:r>
        <w:rPr>
          <w:sz w:val="24"/>
          <w:szCs w:val="24"/>
          <w:highlight w:val="none"/>
          <w:u w:val="single"/>
          <w:lang w:val="en-US"/>
        </w:rPr>
        <w:t>www</w:t>
      </w:r>
      <w:r>
        <w:rPr>
          <w:sz w:val="24"/>
          <w:szCs w:val="24"/>
          <w:highlight w:val="none"/>
          <w:u w:val="single"/>
        </w:rPr>
        <w:t xml:space="preserve">. </w:t>
      </w:r>
      <w:r>
        <w:rPr>
          <w:sz w:val="24"/>
          <w:szCs w:val="24"/>
          <w:highlight w:val="none"/>
          <w:u w:val="single"/>
          <w:lang w:val="en-US"/>
        </w:rPr>
        <w:t>rtc</w:t>
      </w:r>
      <w:r>
        <w:rPr>
          <w:sz w:val="24"/>
          <w:szCs w:val="24"/>
          <w:highlight w:val="none"/>
          <w:u w:val="single"/>
        </w:rPr>
        <w:t>-</w:t>
      </w:r>
      <w:r>
        <w:rPr>
          <w:sz w:val="24"/>
          <w:szCs w:val="24"/>
          <w:highlight w:val="none"/>
          <w:u w:val="single"/>
          <w:lang w:val="en-US"/>
        </w:rPr>
        <w:t>tender</w:t>
      </w:r>
      <w:r>
        <w:rPr>
          <w:sz w:val="24"/>
          <w:szCs w:val="24"/>
          <w:highlight w:val="none"/>
          <w:u w:val="single"/>
        </w:rPr>
        <w:t>.</w:t>
      </w:r>
      <w:r>
        <w:rPr>
          <w:sz w:val="24"/>
          <w:szCs w:val="24"/>
          <w:highlight w:val="none"/>
          <w:u w:val="single"/>
          <w:lang w:val="en-US"/>
        </w:rPr>
        <w:t>ru</w:t>
      </w:r>
      <w:r>
        <w:rPr>
          <w:sz w:val="24"/>
          <w:szCs w:val="24"/>
          <w:highlight w:val="none"/>
          <w:u w:val="single"/>
        </w:rPr>
        <w:t xml:space="preserve">,  </w:t>
      </w:r>
      <w:r>
        <w:rPr>
          <w:sz w:val="24"/>
          <w:szCs w:val="24"/>
          <w:highlight w:val="none"/>
        </w:rPr>
        <w:t xml:space="preserve">задаток, в размере ста процентов от </w:t>
      </w:r>
      <w:r>
        <w:rPr>
          <w:sz w:val="24"/>
          <w:szCs w:val="24"/>
        </w:rPr>
        <w:t xml:space="preserve">начальной стоимости имущества, необходимо перечислить на расчетный счет, указанный на официальном сайте: </w:t>
      </w:r>
      <w:r>
        <w:fldChar w:fldCharType="begin"/>
      </w:r>
      <w:r>
        <w:instrText xml:space="preserve"> HYPERLINK "https://www.rts-tender.ru/" </w:instrText>
      </w:r>
      <w:r>
        <w:fldChar w:fldCharType="separate"/>
      </w:r>
      <w:r>
        <w:rPr>
          <w:color w:val="0000FF" w:themeColor="hyperlink"/>
          <w:sz w:val="24"/>
          <w:szCs w:val="24"/>
          <w:u w:val="single"/>
          <w:lang w:val="en-US"/>
          <w14:textFill>
            <w14:solidFill>
              <w14:schemeClr w14:val="hlink"/>
            </w14:solidFill>
          </w14:textFill>
        </w:rPr>
        <w:t>https</w:t>
      </w:r>
      <w:r>
        <w:rPr>
          <w:color w:val="0000FF" w:themeColor="hyperlink"/>
          <w:sz w:val="24"/>
          <w:szCs w:val="24"/>
          <w:u w:val="single"/>
          <w14:textFill>
            <w14:solidFill>
              <w14:schemeClr w14:val="hlink"/>
            </w14:solidFill>
          </w14:textFill>
        </w:rPr>
        <w:t>://</w:t>
      </w:r>
      <w:r>
        <w:rPr>
          <w:color w:val="0000FF" w:themeColor="hyperlink"/>
          <w:sz w:val="24"/>
          <w:szCs w:val="24"/>
          <w:u w:val="single"/>
          <w:lang w:val="en-US"/>
          <w14:textFill>
            <w14:solidFill>
              <w14:schemeClr w14:val="hlink"/>
            </w14:solidFill>
          </w14:textFill>
        </w:rPr>
        <w:t>www</w:t>
      </w:r>
      <w:r>
        <w:rPr>
          <w:color w:val="0000FF" w:themeColor="hyperlink"/>
          <w:sz w:val="24"/>
          <w:szCs w:val="24"/>
          <w:u w:val="single"/>
          <w14:textFill>
            <w14:solidFill>
              <w14:schemeClr w14:val="hlink"/>
            </w14:solidFill>
          </w14:textFill>
        </w:rPr>
        <w:t>.</w:t>
      </w:r>
      <w:r>
        <w:rPr>
          <w:color w:val="0000FF" w:themeColor="hyperlink"/>
          <w:sz w:val="24"/>
          <w:szCs w:val="24"/>
          <w:u w:val="single"/>
          <w:lang w:val="en-US"/>
          <w14:textFill>
            <w14:solidFill>
              <w14:schemeClr w14:val="hlink"/>
            </w14:solidFill>
          </w14:textFill>
        </w:rPr>
        <w:t>rts</w:t>
      </w:r>
      <w:r>
        <w:rPr>
          <w:color w:val="0000FF" w:themeColor="hyperlink"/>
          <w:sz w:val="24"/>
          <w:szCs w:val="24"/>
          <w:u w:val="single"/>
          <w14:textFill>
            <w14:solidFill>
              <w14:schemeClr w14:val="hlink"/>
            </w14:solidFill>
          </w14:textFill>
        </w:rPr>
        <w:t>-</w:t>
      </w:r>
      <w:r>
        <w:rPr>
          <w:color w:val="0000FF" w:themeColor="hyperlink"/>
          <w:sz w:val="24"/>
          <w:szCs w:val="24"/>
          <w:u w:val="single"/>
          <w:lang w:val="en-US"/>
          <w14:textFill>
            <w14:solidFill>
              <w14:schemeClr w14:val="hlink"/>
            </w14:solidFill>
          </w14:textFill>
        </w:rPr>
        <w:t>tender</w:t>
      </w:r>
      <w:r>
        <w:rPr>
          <w:color w:val="0000FF" w:themeColor="hyperlink"/>
          <w:sz w:val="24"/>
          <w:szCs w:val="24"/>
          <w:u w:val="single"/>
          <w14:textFill>
            <w14:solidFill>
              <w14:schemeClr w14:val="hlink"/>
            </w14:solidFill>
          </w14:textFill>
        </w:rPr>
        <w:t>.</w:t>
      </w:r>
      <w:r>
        <w:rPr>
          <w:color w:val="0000FF" w:themeColor="hyperlink"/>
          <w:sz w:val="24"/>
          <w:szCs w:val="24"/>
          <w:u w:val="single"/>
          <w:lang w:val="en-US"/>
          <w14:textFill>
            <w14:solidFill>
              <w14:schemeClr w14:val="hlink"/>
            </w14:solidFill>
          </w14:textFill>
        </w:rPr>
        <w:t>ru</w:t>
      </w:r>
      <w:r>
        <w:rPr>
          <w:color w:val="0000FF" w:themeColor="hyperlink"/>
          <w:sz w:val="24"/>
          <w:szCs w:val="24"/>
          <w:u w:val="single"/>
          <w14:textFill>
            <w14:solidFill>
              <w14:schemeClr w14:val="hlink"/>
            </w14:solidFill>
          </w14:textFill>
        </w:rPr>
        <w:t>/</w:t>
      </w:r>
      <w:r>
        <w:rPr>
          <w:color w:val="0000FF" w:themeColor="hyperlink"/>
          <w:sz w:val="24"/>
          <w:szCs w:val="24"/>
          <w:u w:val="single"/>
          <w14:textFill>
            <w14:solidFill>
              <w14:schemeClr w14:val="hlink"/>
            </w14:solidFill>
          </w14:textFill>
        </w:rPr>
        <w:fldChar w:fldCharType="end"/>
      </w:r>
      <w:r>
        <w:rPr>
          <w:sz w:val="24"/>
          <w:szCs w:val="24"/>
          <w:u w:val="single"/>
        </w:rPr>
        <w:t>.</w:t>
      </w:r>
    </w:p>
    <w:p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Данное сообщение является офертой для заключения договора о задатке в соответствии со 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момента перечисления претендентом задатка, договор о задатке считается заключенным в установленном порядке.</w:t>
      </w:r>
    </w:p>
    <w:p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случаях отзыва претендентом заявки:</w:t>
      </w:r>
    </w:p>
    <w:p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3 (три) дня со дня поступления уведомления об отзыве заявки;</w:t>
      </w:r>
    </w:p>
    <w:p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участникам, за исключением победителя Процедуры, внесенный задаток возвращается в течение 3 (трех) дней с даты подведения итогов Процедуры.</w:t>
      </w:r>
    </w:p>
    <w:p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Претендентам, не допущенным к участию в Процедуре, внесенный задаток возвращается в течение 3 (трех) дней со дня подписания протокола о признании претендентов участниками.</w:t>
      </w:r>
    </w:p>
    <w:p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Задаток, внесенный лицом, впоследствии признанным победителем Процедуры, засчитывается в счет оплаты приобретаемого объекта недвижимости  после его полной оплаты. </w:t>
      </w:r>
    </w:p>
    <w:p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 отказа Продавца от проведения Процедуры, поступившие задатки возвращаются претендентам/ участникам в течение 3 (трех) рабочих дней с даты принятия решения об отказе в проведении Процедуры.</w:t>
      </w:r>
    </w:p>
    <w:p>
      <w:pPr>
        <w:pStyle w:val="8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>
      <w:pPr>
        <w:autoSpaceDE w:val="0"/>
        <w:autoSpaceDN w:val="0"/>
        <w:adjustRightInd w:val="0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7.  Порядок, место, дата и время начала и окончания подачи заявок.</w:t>
      </w:r>
    </w:p>
    <w:p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0" w:name="sub_592"/>
      <w:r>
        <w:t> </w:t>
      </w:r>
      <w:r>
        <w:rPr>
          <w:sz w:val="24"/>
          <w:szCs w:val="24"/>
        </w:rPr>
        <w:t xml:space="preserve">Заявка подается путем заполнения ее электронной формы (Приложение), размещенной в открытой для доступа неограниченного круга лиц части электронной площадки (далее - открытая часть электронной площадки), на сайте </w:t>
      </w:r>
      <w:r>
        <w:fldChar w:fldCharType="begin"/>
      </w:r>
      <w:r>
        <w:instrText xml:space="preserve"> HYPERLINK "https://www.rts-tender.ru/" </w:instrText>
      </w:r>
      <w:r>
        <w:fldChar w:fldCharType="separate"/>
      </w:r>
      <w:r>
        <w:rPr>
          <w:color w:val="0000FF" w:themeColor="hyperlink"/>
          <w:sz w:val="24"/>
          <w:szCs w:val="24"/>
          <w:u w:val="single"/>
          <w:lang w:val="en-US"/>
          <w14:textFill>
            <w14:solidFill>
              <w14:schemeClr w14:val="hlink"/>
            </w14:solidFill>
          </w14:textFill>
        </w:rPr>
        <w:t>https</w:t>
      </w:r>
      <w:r>
        <w:rPr>
          <w:color w:val="0000FF" w:themeColor="hyperlink"/>
          <w:sz w:val="24"/>
          <w:szCs w:val="24"/>
          <w:u w:val="single"/>
          <w14:textFill>
            <w14:solidFill>
              <w14:schemeClr w14:val="hlink"/>
            </w14:solidFill>
          </w14:textFill>
        </w:rPr>
        <w:t>://</w:t>
      </w:r>
      <w:r>
        <w:rPr>
          <w:color w:val="0000FF" w:themeColor="hyperlink"/>
          <w:sz w:val="24"/>
          <w:szCs w:val="24"/>
          <w:u w:val="single"/>
          <w:lang w:val="en-US"/>
          <w14:textFill>
            <w14:solidFill>
              <w14:schemeClr w14:val="hlink"/>
            </w14:solidFill>
          </w14:textFill>
        </w:rPr>
        <w:t>www</w:t>
      </w:r>
      <w:r>
        <w:rPr>
          <w:color w:val="0000FF" w:themeColor="hyperlink"/>
          <w:sz w:val="24"/>
          <w:szCs w:val="24"/>
          <w:u w:val="single"/>
          <w14:textFill>
            <w14:solidFill>
              <w14:schemeClr w14:val="hlink"/>
            </w14:solidFill>
          </w14:textFill>
        </w:rPr>
        <w:t>.</w:t>
      </w:r>
      <w:r>
        <w:rPr>
          <w:color w:val="0000FF" w:themeColor="hyperlink"/>
          <w:sz w:val="24"/>
          <w:szCs w:val="24"/>
          <w:u w:val="single"/>
          <w:lang w:val="en-US"/>
          <w14:textFill>
            <w14:solidFill>
              <w14:schemeClr w14:val="hlink"/>
            </w14:solidFill>
          </w14:textFill>
        </w:rPr>
        <w:t>rts</w:t>
      </w:r>
      <w:r>
        <w:rPr>
          <w:color w:val="0000FF" w:themeColor="hyperlink"/>
          <w:sz w:val="24"/>
          <w:szCs w:val="24"/>
          <w:u w:val="single"/>
          <w14:textFill>
            <w14:solidFill>
              <w14:schemeClr w14:val="hlink"/>
            </w14:solidFill>
          </w14:textFill>
        </w:rPr>
        <w:t>-</w:t>
      </w:r>
      <w:r>
        <w:rPr>
          <w:color w:val="0000FF" w:themeColor="hyperlink"/>
          <w:sz w:val="24"/>
          <w:szCs w:val="24"/>
          <w:u w:val="single"/>
          <w:lang w:val="en-US"/>
          <w14:textFill>
            <w14:solidFill>
              <w14:schemeClr w14:val="hlink"/>
            </w14:solidFill>
          </w14:textFill>
        </w:rPr>
        <w:t>tender</w:t>
      </w:r>
      <w:r>
        <w:rPr>
          <w:color w:val="0000FF" w:themeColor="hyperlink"/>
          <w:sz w:val="24"/>
          <w:szCs w:val="24"/>
          <w:u w:val="single"/>
          <w14:textFill>
            <w14:solidFill>
              <w14:schemeClr w14:val="hlink"/>
            </w14:solidFill>
          </w14:textFill>
        </w:rPr>
        <w:t>.</w:t>
      </w:r>
      <w:r>
        <w:rPr>
          <w:color w:val="0000FF" w:themeColor="hyperlink"/>
          <w:sz w:val="24"/>
          <w:szCs w:val="24"/>
          <w:u w:val="single"/>
          <w:lang w:val="en-US"/>
          <w14:textFill>
            <w14:solidFill>
              <w14:schemeClr w14:val="hlink"/>
            </w14:solidFill>
          </w14:textFill>
        </w:rPr>
        <w:t>ru</w:t>
      </w:r>
      <w:r>
        <w:rPr>
          <w:color w:val="0000FF" w:themeColor="hyperlink"/>
          <w:sz w:val="24"/>
          <w:szCs w:val="24"/>
          <w:u w:val="single"/>
          <w14:textFill>
            <w14:solidFill>
              <w14:schemeClr w14:val="hlink"/>
            </w14:solidFill>
          </w14:textFill>
        </w:rPr>
        <w:t>/</w:t>
      </w:r>
      <w:r>
        <w:rPr>
          <w:color w:val="0000FF" w:themeColor="hyperlink"/>
          <w:sz w:val="24"/>
          <w:szCs w:val="24"/>
          <w:u w:val="single"/>
          <w14:textFill>
            <w14:solidFill>
              <w14:schemeClr w14:val="hlink"/>
            </w14:solidFill>
          </w14:textFill>
        </w:rPr>
        <w:fldChar w:fldCharType="end"/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с приложением электронных образов документов</w:t>
      </w:r>
      <w:r>
        <w:t xml:space="preserve">. </w:t>
      </w:r>
      <w:r>
        <w:rPr>
          <w:sz w:val="24"/>
          <w:szCs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Одно лицо имеет право подать одну заявку.</w:t>
      </w:r>
    </w:p>
    <w:p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  <w:r>
        <w:t xml:space="preserve"> </w:t>
      </w:r>
      <w:r>
        <w:rPr>
          <w:sz w:val="24"/>
          <w:szCs w:val="24"/>
        </w:rPr>
        <w:t>В течение периода поступления заявок оператор электронной площадки ежедневно направляет продавцу уведомления о поступивших заявках.</w:t>
      </w:r>
    </w:p>
    <w:p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Дата и время начала подачи заявок</w:t>
      </w:r>
      <w:r>
        <w:rPr>
          <w:b/>
          <w:sz w:val="24"/>
          <w:szCs w:val="24"/>
        </w:rPr>
        <w:t xml:space="preserve"> </w:t>
      </w:r>
      <w:r>
        <w:rPr>
          <w:rFonts w:hint="default"/>
          <w:b/>
          <w:sz w:val="24"/>
          <w:szCs w:val="24"/>
          <w:highlight w:val="none"/>
          <w:lang w:val="ru-RU"/>
        </w:rPr>
        <w:t>23.05.</w:t>
      </w:r>
      <w:r>
        <w:rPr>
          <w:b/>
          <w:sz w:val="24"/>
          <w:szCs w:val="24"/>
          <w:highlight w:val="none"/>
        </w:rPr>
        <w:t>2025</w:t>
      </w:r>
      <w:r>
        <w:rPr>
          <w:rFonts w:hint="default"/>
          <w:b/>
          <w:sz w:val="24"/>
          <w:szCs w:val="24"/>
          <w:highlight w:val="none"/>
          <w:lang w:val="ru-RU"/>
        </w:rPr>
        <w:t xml:space="preserve"> </w:t>
      </w:r>
      <w:r>
        <w:rPr>
          <w:b/>
          <w:sz w:val="24"/>
          <w:szCs w:val="24"/>
          <w:highlight w:val="none"/>
        </w:rPr>
        <w:t>г</w:t>
      </w:r>
      <w:r>
        <w:rPr>
          <w:rFonts w:hint="default"/>
          <w:b/>
          <w:sz w:val="24"/>
          <w:szCs w:val="24"/>
          <w:highlight w:val="none"/>
          <w:lang w:val="ru-RU"/>
        </w:rPr>
        <w:t>.</w:t>
      </w:r>
      <w:r>
        <w:rPr>
          <w:b/>
          <w:sz w:val="24"/>
          <w:szCs w:val="24"/>
          <w:highlight w:val="none"/>
        </w:rPr>
        <w:t xml:space="preserve"> с 9 час 00 мин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по местному времени.</w:t>
      </w:r>
    </w:p>
    <w:p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и время окончания подачи заявок: </w:t>
      </w:r>
      <w:r>
        <w:rPr>
          <w:rFonts w:hint="default"/>
          <w:b/>
          <w:bCs/>
          <w:sz w:val="24"/>
          <w:szCs w:val="24"/>
          <w:lang w:val="ru-RU"/>
        </w:rPr>
        <w:t>02</w:t>
      </w:r>
      <w:bookmarkStart w:id="8" w:name="_GoBack"/>
      <w:bookmarkEnd w:id="8"/>
      <w:r>
        <w:rPr>
          <w:rFonts w:hint="default"/>
          <w:b/>
          <w:bCs/>
          <w:sz w:val="24"/>
          <w:szCs w:val="24"/>
          <w:lang w:val="ru-RU"/>
        </w:rPr>
        <w:t>.06.</w:t>
      </w:r>
      <w:r>
        <w:rPr>
          <w:b/>
          <w:sz w:val="24"/>
          <w:szCs w:val="24"/>
          <w:highlight w:val="none"/>
        </w:rPr>
        <w:t>2025</w:t>
      </w:r>
      <w:r>
        <w:rPr>
          <w:rFonts w:hint="default"/>
          <w:b/>
          <w:sz w:val="24"/>
          <w:szCs w:val="24"/>
          <w:highlight w:val="none"/>
          <w:lang w:val="ru-RU"/>
        </w:rPr>
        <w:t xml:space="preserve"> </w:t>
      </w:r>
      <w:r>
        <w:rPr>
          <w:b/>
          <w:sz w:val="24"/>
          <w:szCs w:val="24"/>
          <w:highlight w:val="none"/>
        </w:rPr>
        <w:t>г. в 17 час 00 мин</w:t>
      </w:r>
      <w:r>
        <w:rPr>
          <w:sz w:val="24"/>
          <w:szCs w:val="24"/>
          <w:highlight w:val="none"/>
        </w:rPr>
        <w:t xml:space="preserve">. </w:t>
      </w:r>
      <w:r>
        <w:rPr>
          <w:sz w:val="24"/>
          <w:szCs w:val="24"/>
        </w:rPr>
        <w:t>по местному времени.</w:t>
      </w:r>
    </w:p>
    <w:p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Претендент </w:t>
      </w:r>
      <w:r>
        <w:rPr>
          <w:rFonts w:eastAsiaTheme="minorHAnsi"/>
          <w:sz w:val="24"/>
          <w:szCs w:val="24"/>
          <w:lang w:eastAsia="en-US"/>
        </w:rPr>
        <w:t>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Дата определения участников аукциона (рассмотрения заявок), проводимого в электронной форме:</w:t>
      </w:r>
      <w:r>
        <w:rPr>
          <w:b/>
          <w:bCs/>
          <w:sz w:val="24"/>
          <w:szCs w:val="24"/>
          <w:highlight w:val="none"/>
        </w:rPr>
        <w:t xml:space="preserve"> </w:t>
      </w:r>
      <w:r>
        <w:rPr>
          <w:rFonts w:hint="default"/>
          <w:b/>
          <w:bCs/>
          <w:sz w:val="24"/>
          <w:szCs w:val="24"/>
          <w:highlight w:val="none"/>
          <w:lang w:val="ru-RU"/>
        </w:rPr>
        <w:t>03.06.2025 г.</w:t>
      </w:r>
      <w:r>
        <w:rPr>
          <w:b/>
          <w:bCs/>
          <w:sz w:val="24"/>
          <w:szCs w:val="24"/>
          <w:highlight w:val="none"/>
        </w:rPr>
        <w:t xml:space="preserve"> в 10 час 00 мин.</w:t>
      </w:r>
      <w:r>
        <w:rPr>
          <w:sz w:val="24"/>
          <w:szCs w:val="24"/>
          <w:highlight w:val="none"/>
        </w:rPr>
        <w:t xml:space="preserve"> </w:t>
      </w:r>
      <w:r>
        <w:rPr>
          <w:sz w:val="24"/>
          <w:szCs w:val="24"/>
        </w:rPr>
        <w:t>по местному времени.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bookmarkStart w:id="1" w:name="Par0"/>
      <w:bookmarkEnd w:id="1"/>
      <w:r>
        <w:rPr>
          <w:rFonts w:eastAsiaTheme="minorHAnsi"/>
          <w:sz w:val="24"/>
          <w:szCs w:val="24"/>
          <w:lang w:eastAsia="en-US"/>
        </w:rPr>
        <w:t>Протокол рассмотрения заявок на участие в электронном аукционе подписывается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решениях.</w:t>
      </w:r>
    </w:p>
    <w:p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>
      <w:pPr>
        <w:ind w:firstLine="567"/>
        <w:rPr>
          <w:b/>
          <w:i/>
          <w:sz w:val="24"/>
          <w:szCs w:val="24"/>
        </w:rPr>
      </w:pPr>
    </w:p>
    <w:p>
      <w:pPr>
        <w:ind w:firstLine="56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8. Исчерпывающий перечень представляемых участниками торгов документов и требования к их оформлению.</w:t>
      </w:r>
    </w:p>
    <w:p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заявка на участие в аукционе с указанием банковских реквизитов счета для возврата задатка путем заполнения ее электронной формы (Приложение), размещенной на открытой части электронной площадки;</w:t>
      </w:r>
    </w:p>
    <w:p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копии документов, удостоверяющих личность заявителя (для граждан);</w:t>
      </w:r>
    </w:p>
    <w:p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документы, подтверждающие внесение задатка.</w:t>
      </w:r>
    </w:p>
    <w:p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>
      <w:pPr>
        <w:ind w:firstLine="567"/>
        <w:rPr>
          <w:i/>
          <w:sz w:val="24"/>
          <w:szCs w:val="24"/>
        </w:rPr>
      </w:pPr>
    </w:p>
    <w:p>
      <w:pPr>
        <w:ind w:firstLine="56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9. Отказ от проведения аукциона.</w:t>
      </w:r>
    </w:p>
    <w:p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 8 статьи 39.11  Земельного кодекса Российской Федерации, </w:t>
      </w:r>
      <w:r>
        <w:rPr>
          <w:rFonts w:eastAsiaTheme="minorHAnsi"/>
          <w:sz w:val="24"/>
          <w:szCs w:val="24"/>
          <w:lang w:eastAsia="en-US"/>
        </w:rPr>
        <w:t>не позднее, чем за три дня до даты его проведения</w:t>
      </w:r>
      <w:r>
        <w:rPr>
          <w:sz w:val="24"/>
          <w:szCs w:val="24"/>
        </w:rPr>
        <w:t>.</w:t>
      </w:r>
    </w:p>
    <w:p>
      <w:pPr>
        <w:autoSpaceDE w:val="0"/>
        <w:autoSpaceDN w:val="0"/>
        <w:adjustRightInd w:val="0"/>
        <w:ind w:firstLine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>
      <w:pPr>
        <w:ind w:firstLine="567"/>
        <w:rPr>
          <w:i/>
          <w:sz w:val="24"/>
          <w:szCs w:val="24"/>
        </w:rPr>
      </w:pPr>
    </w:p>
    <w:p>
      <w:pPr>
        <w:pStyle w:val="10"/>
        <w:shd w:val="clear" w:color="auto" w:fill="FFFFFF"/>
        <w:spacing w:before="0" w:beforeAutospacing="0" w:after="0" w:afterAutospacing="0"/>
        <w:ind w:firstLine="708"/>
        <w:jc w:val="both"/>
        <w:rPr>
          <w:i/>
        </w:rPr>
      </w:pPr>
      <w:r>
        <w:rPr>
          <w:b/>
          <w:i/>
        </w:rPr>
        <w:t>10. Порядок определения победителей</w:t>
      </w:r>
      <w:r>
        <w:rPr>
          <w:i/>
        </w:rPr>
        <w:t>.</w:t>
      </w:r>
    </w:p>
    <w:p>
      <w:pPr>
        <w:pStyle w:val="10"/>
        <w:shd w:val="clear" w:color="auto" w:fill="FFFFFF"/>
        <w:spacing w:before="0" w:beforeAutospacing="0" w:after="0" w:afterAutospacing="0"/>
        <w:ind w:firstLine="708"/>
        <w:jc w:val="both"/>
      </w:pPr>
      <w:bookmarkStart w:id="2" w:name="sub_74"/>
      <w:r>
        <w:t>Процедура аукциона проводится в день и время, указанные в извещении о проведении аукциона.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 1) предложение о цене предмета аукциона увеличивает текущее максимальное предложение о цене предмета аукциона на величину "шага аукциона"; 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bookmarkEnd w:id="2"/>
    <w:p>
      <w:pPr>
        <w:pStyle w:val="10"/>
        <w:shd w:val="clear" w:color="auto" w:fill="FFFFFF"/>
        <w:spacing w:before="0" w:beforeAutospacing="0" w:after="0" w:afterAutospacing="0"/>
        <w:ind w:firstLine="708"/>
        <w:jc w:val="both"/>
      </w:pPr>
      <w: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 земельного участка.</w:t>
      </w:r>
      <w:bookmarkStart w:id="3" w:name="sub_81"/>
      <w:r>
        <w:t xml:space="preserve"> </w:t>
      </w:r>
    </w:p>
    <w:p>
      <w:pPr>
        <w:pStyle w:val="10"/>
        <w:shd w:val="clear" w:color="auto" w:fill="FFFFFF"/>
        <w:spacing w:before="0" w:beforeAutospacing="0" w:after="0" w:afterAutospacing="0"/>
        <w:ind w:firstLine="708"/>
        <w:jc w:val="both"/>
      </w:pPr>
      <w:r>
        <w:t>Если в процессе аукциона:</w:t>
      </w:r>
      <w:bookmarkEnd w:id="3"/>
      <w:r>
        <w:t xml:space="preserve"> а) поступило предложение о начальной цене имущества, то время для представления следующих предложений об увеличенной на "шаг аукциона" цене земельного участка или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  <w:bookmarkStart w:id="4" w:name="sub_80"/>
      <w:r>
        <w:t xml:space="preserve"> б)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  <w:bookmarkEnd w:id="4"/>
      <w:bookmarkStart w:id="5" w:name="sub_85"/>
      <w:r>
        <w:t xml:space="preserve"> </w:t>
      </w:r>
    </w:p>
    <w:p>
      <w:pPr>
        <w:pStyle w:val="10"/>
        <w:shd w:val="clear" w:color="auto" w:fill="FFFFFF"/>
        <w:spacing w:before="0" w:beforeAutospacing="0" w:after="0" w:afterAutospacing="0"/>
        <w:ind w:firstLine="708"/>
        <w:jc w:val="both"/>
      </w:pPr>
      <w:r>
        <w:t>Победителем признается участник, предложивший наиболее высокую цену имущества.</w:t>
      </w:r>
      <w:bookmarkEnd w:id="5"/>
      <w:r>
        <w:t xml:space="preserve"> </w:t>
      </w:r>
    </w:p>
    <w:p>
      <w:pPr>
        <w:pStyle w:val="10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  </w:t>
      </w:r>
      <w:bookmarkStart w:id="6" w:name="sub_88"/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>
      <w:pPr>
        <w:pStyle w:val="10"/>
        <w:shd w:val="clear" w:color="auto" w:fill="FFFFFF"/>
        <w:spacing w:before="0" w:beforeAutospacing="0" w:after="0" w:afterAutospacing="0"/>
        <w:ind w:firstLine="708"/>
        <w:jc w:val="both"/>
      </w:pPr>
      <w:r>
        <w:t>Процедура аукциона считается завершенной со времени подписания продавцом протокола об итогах аукциона.</w:t>
      </w:r>
      <w:bookmarkEnd w:id="6"/>
      <w:bookmarkStart w:id="7" w:name="sub_92"/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случае, если по окончании срока подачи заявок на участие в аукционе не подано ни одной заявки на участие в аукционе или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bookmarkEnd w:id="7"/>
    <w:p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tab/>
      </w:r>
    </w:p>
    <w:p>
      <w:pPr>
        <w:autoSpaceDE w:val="0"/>
        <w:autoSpaceDN w:val="0"/>
        <w:adjustRightInd w:val="0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11. Информация о размере взимаемой с победителя электронного аукциона или иных лиц платы оператору электронной площадки</w:t>
      </w:r>
    </w:p>
    <w:p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Постановлением Правительства Российской Федерации от 10 мая 2018 г. №564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 установлено,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что операторы электронных площадок, операторы специализированных электронных площадок вправе взимать плату с лица, с которым заключается контракт по результатам проведения электронной процедуры, закрытой электронной процедуры, в том числе совместных конкурса или аукциона (далее - плата). </w:t>
      </w:r>
    </w:p>
    <w:p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При проведении в соответствии с Земельным кодексом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оператор электронной площадки вправе взимать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аренды или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аукционе. </w:t>
      </w:r>
    </w:p>
    <w:p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 сайте электронной площадки ООО «РТС-тендер» в разделе «Тарифы» размещены сведения о стоимости услуг оператора.</w:t>
      </w:r>
    </w:p>
    <w:p>
      <w:pPr>
        <w:autoSpaceDE w:val="0"/>
        <w:autoSpaceDN w:val="0"/>
        <w:adjustRightInd w:val="0"/>
        <w:ind w:firstLine="567"/>
        <w:jc w:val="both"/>
        <w:rPr>
          <w:i/>
          <w:sz w:val="24"/>
          <w:szCs w:val="24"/>
        </w:rPr>
      </w:pPr>
    </w:p>
    <w:p>
      <w:pPr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12. Срок заключения договора аренды или купли-продажи земельного участка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Договор купли-продажи земельного участка, находящегося в государственной или муниципальной собственности, либо договор аренды такого участка по результатам проведения электронного аукциона заключается не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Уполномоченный орган в течение пяти дней со дня истечения срока для заключения договора,  направляет победителю электронного аукциона или иному лицу, с которым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уполномоченный орган вправе объявить о проведении повторного аукциона или распорядиться земельным участком иным образом 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заключаются, и которые уклонились от их заключения, включаются в реестр недобросовестных участников аукциона.</w:t>
      </w:r>
    </w:p>
    <w:p>
      <w:pPr>
        <w:ind w:firstLine="708"/>
        <w:jc w:val="both"/>
        <w:rPr>
          <w:sz w:val="24"/>
          <w:szCs w:val="24"/>
        </w:rPr>
      </w:pP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bookmarkEnd w:id="0"/>
    <w:p>
      <w:pPr>
        <w:ind w:firstLine="708"/>
        <w:jc w:val="both"/>
        <w:rPr>
          <w:bCs/>
          <w:color w:val="000000"/>
          <w:sz w:val="24"/>
          <w:szCs w:val="24"/>
          <w:highlight w:val="none"/>
        </w:rPr>
      </w:pPr>
      <w:r>
        <w:rPr>
          <w:bCs/>
          <w:color w:val="000000"/>
          <w:sz w:val="24"/>
          <w:szCs w:val="24"/>
        </w:rPr>
        <w:t xml:space="preserve">Приложение: </w:t>
      </w:r>
      <w:r>
        <w:rPr>
          <w:bCs/>
          <w:color w:val="000000"/>
          <w:sz w:val="24"/>
          <w:szCs w:val="24"/>
          <w:highlight w:val="none"/>
        </w:rPr>
        <w:t>Форма заявки на участие в аукционе</w:t>
      </w:r>
    </w:p>
    <w:p>
      <w:pPr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>Проект договора аренды земельного участка</w:t>
      </w:r>
    </w:p>
    <w:p>
      <w:pPr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 xml:space="preserve"> </w:t>
      </w:r>
    </w:p>
    <w:p>
      <w:pPr>
        <w:jc w:val="both"/>
        <w:rPr>
          <w:bCs/>
          <w:color w:val="000000"/>
          <w:sz w:val="24"/>
          <w:szCs w:val="24"/>
        </w:rPr>
      </w:pPr>
    </w:p>
    <w:p>
      <w:pPr>
        <w:jc w:val="both"/>
        <w:rPr>
          <w:bCs/>
          <w:color w:val="000000"/>
          <w:sz w:val="24"/>
          <w:szCs w:val="24"/>
        </w:rPr>
      </w:pPr>
    </w:p>
    <w:p>
      <w:pPr>
        <w:spacing w:after="1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Председатель  комиссии                                                                                   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Фёдоров И.А.</w:t>
      </w:r>
    </w:p>
    <w:p>
      <w:pPr>
        <w:ind w:firstLine="360"/>
        <w:jc w:val="both"/>
        <w:rPr>
          <w:sz w:val="24"/>
          <w:szCs w:val="24"/>
        </w:rPr>
      </w:pPr>
    </w:p>
    <w:p>
      <w:pPr>
        <w:spacing w:after="120"/>
        <w:jc w:val="both"/>
        <w:rPr>
          <w:bCs/>
          <w:color w:val="000000"/>
          <w:sz w:val="24"/>
          <w:szCs w:val="24"/>
        </w:rPr>
      </w:pPr>
    </w:p>
    <w:sectPr>
      <w:pgSz w:w="11906" w:h="16838"/>
      <w:pgMar w:top="28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C9109B"/>
    <w:multiLevelType w:val="multilevel"/>
    <w:tmpl w:val="57C9109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EB"/>
    <w:rsid w:val="000102DF"/>
    <w:rsid w:val="00010FA1"/>
    <w:rsid w:val="00033431"/>
    <w:rsid w:val="00046E5D"/>
    <w:rsid w:val="00083711"/>
    <w:rsid w:val="000A755B"/>
    <w:rsid w:val="000B7FA0"/>
    <w:rsid w:val="000D1975"/>
    <w:rsid w:val="000E1EEA"/>
    <w:rsid w:val="000F7176"/>
    <w:rsid w:val="001002BE"/>
    <w:rsid w:val="001251C7"/>
    <w:rsid w:val="00140132"/>
    <w:rsid w:val="0014430F"/>
    <w:rsid w:val="0014788D"/>
    <w:rsid w:val="00147E8F"/>
    <w:rsid w:val="00187BE8"/>
    <w:rsid w:val="0019701E"/>
    <w:rsid w:val="001B3390"/>
    <w:rsid w:val="001D1771"/>
    <w:rsid w:val="001F0DBD"/>
    <w:rsid w:val="002327C6"/>
    <w:rsid w:val="002510A6"/>
    <w:rsid w:val="002569AC"/>
    <w:rsid w:val="002A10AC"/>
    <w:rsid w:val="002B2CD8"/>
    <w:rsid w:val="002C3ADC"/>
    <w:rsid w:val="002E4AC4"/>
    <w:rsid w:val="002F7557"/>
    <w:rsid w:val="003026EE"/>
    <w:rsid w:val="00340182"/>
    <w:rsid w:val="00345A89"/>
    <w:rsid w:val="00362FD3"/>
    <w:rsid w:val="003727E7"/>
    <w:rsid w:val="00380686"/>
    <w:rsid w:val="003A35E6"/>
    <w:rsid w:val="003A39FE"/>
    <w:rsid w:val="003A73B6"/>
    <w:rsid w:val="003B32E7"/>
    <w:rsid w:val="003E089F"/>
    <w:rsid w:val="00404B50"/>
    <w:rsid w:val="004145B4"/>
    <w:rsid w:val="00420942"/>
    <w:rsid w:val="0043201A"/>
    <w:rsid w:val="00433327"/>
    <w:rsid w:val="00463A17"/>
    <w:rsid w:val="0047585E"/>
    <w:rsid w:val="004779AD"/>
    <w:rsid w:val="00477B74"/>
    <w:rsid w:val="00482F23"/>
    <w:rsid w:val="004B5C78"/>
    <w:rsid w:val="004D3090"/>
    <w:rsid w:val="004E089E"/>
    <w:rsid w:val="004E1A37"/>
    <w:rsid w:val="004F4A23"/>
    <w:rsid w:val="0050186D"/>
    <w:rsid w:val="00502633"/>
    <w:rsid w:val="0050627B"/>
    <w:rsid w:val="00507785"/>
    <w:rsid w:val="00512820"/>
    <w:rsid w:val="00541664"/>
    <w:rsid w:val="00546867"/>
    <w:rsid w:val="00560C0B"/>
    <w:rsid w:val="00566104"/>
    <w:rsid w:val="00577F9B"/>
    <w:rsid w:val="00583171"/>
    <w:rsid w:val="005934E1"/>
    <w:rsid w:val="00597120"/>
    <w:rsid w:val="005A5A07"/>
    <w:rsid w:val="005B5923"/>
    <w:rsid w:val="005C6A36"/>
    <w:rsid w:val="005D0804"/>
    <w:rsid w:val="00633F00"/>
    <w:rsid w:val="006379B5"/>
    <w:rsid w:val="00637A7F"/>
    <w:rsid w:val="00640C79"/>
    <w:rsid w:val="00675E56"/>
    <w:rsid w:val="006A5198"/>
    <w:rsid w:val="006A710E"/>
    <w:rsid w:val="006A7EF1"/>
    <w:rsid w:val="006D10BF"/>
    <w:rsid w:val="006E2805"/>
    <w:rsid w:val="006E4BFD"/>
    <w:rsid w:val="006E5A2E"/>
    <w:rsid w:val="00702421"/>
    <w:rsid w:val="0075500F"/>
    <w:rsid w:val="00761AE2"/>
    <w:rsid w:val="007653D7"/>
    <w:rsid w:val="0076614B"/>
    <w:rsid w:val="007731D2"/>
    <w:rsid w:val="007846B3"/>
    <w:rsid w:val="007865F2"/>
    <w:rsid w:val="007A1361"/>
    <w:rsid w:val="007B0456"/>
    <w:rsid w:val="007B130C"/>
    <w:rsid w:val="007B469F"/>
    <w:rsid w:val="007C19F5"/>
    <w:rsid w:val="007C6B10"/>
    <w:rsid w:val="007E1992"/>
    <w:rsid w:val="007F5AC2"/>
    <w:rsid w:val="00807E8A"/>
    <w:rsid w:val="0081103A"/>
    <w:rsid w:val="0081112C"/>
    <w:rsid w:val="00813599"/>
    <w:rsid w:val="00837C2F"/>
    <w:rsid w:val="008426FB"/>
    <w:rsid w:val="00850D3F"/>
    <w:rsid w:val="00850EAC"/>
    <w:rsid w:val="00881D91"/>
    <w:rsid w:val="008B6995"/>
    <w:rsid w:val="008C1220"/>
    <w:rsid w:val="008E05DC"/>
    <w:rsid w:val="00931823"/>
    <w:rsid w:val="00933682"/>
    <w:rsid w:val="00956441"/>
    <w:rsid w:val="00974E8B"/>
    <w:rsid w:val="009B72B4"/>
    <w:rsid w:val="009E3D47"/>
    <w:rsid w:val="009F2425"/>
    <w:rsid w:val="00A02E1B"/>
    <w:rsid w:val="00A1541A"/>
    <w:rsid w:val="00A40465"/>
    <w:rsid w:val="00A52709"/>
    <w:rsid w:val="00A54D63"/>
    <w:rsid w:val="00A56173"/>
    <w:rsid w:val="00A62606"/>
    <w:rsid w:val="00A72B78"/>
    <w:rsid w:val="00A76B51"/>
    <w:rsid w:val="00A851D0"/>
    <w:rsid w:val="00AB18DF"/>
    <w:rsid w:val="00AB3EE9"/>
    <w:rsid w:val="00AC1221"/>
    <w:rsid w:val="00AC2EE8"/>
    <w:rsid w:val="00AD7E85"/>
    <w:rsid w:val="00AE1EC0"/>
    <w:rsid w:val="00AF436C"/>
    <w:rsid w:val="00B012F9"/>
    <w:rsid w:val="00B10359"/>
    <w:rsid w:val="00B133C9"/>
    <w:rsid w:val="00B41E3E"/>
    <w:rsid w:val="00B51EF2"/>
    <w:rsid w:val="00B557FA"/>
    <w:rsid w:val="00B77A58"/>
    <w:rsid w:val="00BA1E78"/>
    <w:rsid w:val="00BA765B"/>
    <w:rsid w:val="00BB4974"/>
    <w:rsid w:val="00BB7464"/>
    <w:rsid w:val="00BB7C9C"/>
    <w:rsid w:val="00BE057C"/>
    <w:rsid w:val="00BE266E"/>
    <w:rsid w:val="00BF740A"/>
    <w:rsid w:val="00C064F4"/>
    <w:rsid w:val="00C13B46"/>
    <w:rsid w:val="00C154D1"/>
    <w:rsid w:val="00C23BA9"/>
    <w:rsid w:val="00C50C44"/>
    <w:rsid w:val="00C62CA9"/>
    <w:rsid w:val="00C65251"/>
    <w:rsid w:val="00C82C8B"/>
    <w:rsid w:val="00C90A06"/>
    <w:rsid w:val="00C96A2C"/>
    <w:rsid w:val="00CB4AEE"/>
    <w:rsid w:val="00CD2F2C"/>
    <w:rsid w:val="00CE5151"/>
    <w:rsid w:val="00CF2E80"/>
    <w:rsid w:val="00CF7B74"/>
    <w:rsid w:val="00D078A8"/>
    <w:rsid w:val="00D7404B"/>
    <w:rsid w:val="00DA1AC7"/>
    <w:rsid w:val="00DA5EAF"/>
    <w:rsid w:val="00DC0BB4"/>
    <w:rsid w:val="00DC6C41"/>
    <w:rsid w:val="00DD711E"/>
    <w:rsid w:val="00DF5049"/>
    <w:rsid w:val="00E14E7A"/>
    <w:rsid w:val="00E16848"/>
    <w:rsid w:val="00E27A43"/>
    <w:rsid w:val="00E37E7B"/>
    <w:rsid w:val="00E425C3"/>
    <w:rsid w:val="00E54B0A"/>
    <w:rsid w:val="00E56591"/>
    <w:rsid w:val="00E6227E"/>
    <w:rsid w:val="00E82FB9"/>
    <w:rsid w:val="00E92AC6"/>
    <w:rsid w:val="00EA6FE8"/>
    <w:rsid w:val="00EC3635"/>
    <w:rsid w:val="00EC4A37"/>
    <w:rsid w:val="00ED1E57"/>
    <w:rsid w:val="00EE3AC1"/>
    <w:rsid w:val="00EE590D"/>
    <w:rsid w:val="00F01BDD"/>
    <w:rsid w:val="00F30E2E"/>
    <w:rsid w:val="00F358AE"/>
    <w:rsid w:val="00F45AD3"/>
    <w:rsid w:val="00F7358E"/>
    <w:rsid w:val="00F82483"/>
    <w:rsid w:val="00FA0AD0"/>
    <w:rsid w:val="00FA1260"/>
    <w:rsid w:val="00FA6DE5"/>
    <w:rsid w:val="00FE0F4C"/>
    <w:rsid w:val="00FF16EB"/>
    <w:rsid w:val="00FF6202"/>
    <w:rsid w:val="15D347E4"/>
    <w:rsid w:val="26517874"/>
    <w:rsid w:val="29612CA5"/>
    <w:rsid w:val="2DFB0A8B"/>
    <w:rsid w:val="3AF94730"/>
    <w:rsid w:val="3D3D254E"/>
    <w:rsid w:val="57A15161"/>
    <w:rsid w:val="5B212792"/>
    <w:rsid w:val="70FE236E"/>
    <w:rsid w:val="7D7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7"/>
    <w:qFormat/>
    <w:uiPriority w:val="0"/>
    <w:pPr>
      <w:jc w:val="both"/>
    </w:pPr>
    <w:rPr>
      <w:sz w:val="26"/>
    </w:rPr>
  </w:style>
  <w:style w:type="character" w:customStyle="1" w:styleId="7">
    <w:name w:val="Основной текст Знак"/>
    <w:basedOn w:val="2"/>
    <w:link w:val="6"/>
    <w:qFormat/>
    <w:uiPriority w:val="0"/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customStyle="1" w:styleId="8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9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0">
    <w:name w:val="s_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000CA-51BC-4972-BCA5-18E15BEAE0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7</Pages>
  <Words>3613</Words>
  <Characters>20598</Characters>
  <Lines>171</Lines>
  <Paragraphs>48</Paragraphs>
  <TotalTime>232</TotalTime>
  <ScaleCrop>false</ScaleCrop>
  <LinksUpToDate>false</LinksUpToDate>
  <CharactersWithSpaces>24163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2025-04-11T04:34:00Z</dcterms:created>
  <dc:creator>User</dc:creator>
  <cp:lastModifiedBy>Клиент</cp:lastModifiedBy>
  <cp:lastPrinted>2025-05-05T08:31:00Z</cp:lastPrinted>
  <dcterms:modified xsi:type="dcterms:W3CDTF">2025-05-22T06:47:06Z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AAD702526E0F4C828AD81EBF77CAB80F_13</vt:lpwstr>
  </property>
</Properties>
</file>